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8 vom 27. April 2011</w:t>
      </w:r>
    </w:p>
    <w:p>
      <w:r>
        <w:t>GR Gerichte, 2011-04-27, DE</w:t>
      </w:r>
    </w:p>
    <w:p>
      <w:r>
        <w:rPr>
          <w:b/>
        </w:rPr>
        <w:t xml:space="preserve">Quelle: </w:t>
      </w:r>
      <w:r>
        <w:t>https://mcp.opencaselaw.ch/entscheid/gr_gerichte_SK1 2011 8</w:t>
      </w:r>
    </w:p>
    <w:p>
      <w:r>
        <w:t>FR: GR_GERICHTE SK1 2011 8 du 27 avril 2011</w:t>
      </w:r>
    </w:p>
    <w:p>
      <w:r>
        <w:t>IT: GR_GERICHTE SK1 2011 8 del 27 aprile 2011</w:t>
      </w:r>
    </w:p>
    <w:p>
      <w:pPr>
        <w:pStyle w:val="Heading2"/>
      </w:pPr>
      <w:r>
        <w:t>Regeste</w:t>
      </w:r>
    </w:p>
    <w:p>
      <w:r>
        <w:t>Widerhandlung gegen das Revisionsaufsichtsgesetz (RAG) | andere Bundesgesetze</w:t>
      </w:r>
    </w:p>
    <w:p>
      <w:pPr>
        <w:pStyle w:val="Heading2"/>
      </w:pPr>
      <w:r>
        <w:t>Erwägungen</w:t>
      </w:r>
    </w:p>
    <w:p>
      <w:r>
        <w:rPr>
          <w:b/>
        </w:rPr>
        <w:t>E. 3</w:t>
      </w:r>
    </w:p>
    <w:p>
      <w:r>
        <w:t>Der Vollzug der Geldstrafe wird aufgeschoben und dem Verurteilten eine Probezeit von zwei Jahren angesetzt.</w:t>
      </w:r>
    </w:p>
    <w:p>
      <w:r>
        <w:rPr>
          <w:b/>
        </w:rPr>
        <w:t>E. 4</w:t>
      </w:r>
    </w:p>
    <w:p>
      <w:r>
        <w:t>Die Kosten des Verfahrens, bestehend aus: - der Untersuchungsgebühr der Staatsanwaltschaft von CHF 1'040.00 - den Barauslagen der Staatsanwaltschaft von CHF 110.00 - den kreisamtlichen Kosten von CHF 300.00 - der Gerichtsgebühr von CHF 2'200.00 - total somit CHF 3'650.00 gehen zu Lasten des Verurteilten X.. Der nach Abzug der geleisteten Zahlung von CHF 1'490.00 verbleibende Betrag von CHF 2'160.00 ist vom Verurteilten – zusammen mit der Busse von CHF 600.00 – innert 30 Tagen dem Bezirksgericht O. zu überweisen.</w:t>
      </w:r>
    </w:p>
    <w:p>
      <w:r>
        <w:rPr>
          <w:b/>
        </w:rPr>
        <w:t>E. 5</w:t>
      </w:r>
    </w:p>
    <w:p>
      <w:r>
        <w:t>(Rechtsmittelbelehrung).</w:t>
      </w:r>
    </w:p>
    <w:p>
      <w:r>
        <w:rPr>
          <w:b/>
        </w:rPr>
        <w:t>E. 6</w:t>
      </w:r>
    </w:p>
    <w:p>
      <w:r>
        <w:t>Die Vorinstanz hat X. der mehrfachen Widerhandlung gegen das Revisionsaufsichtsgesetz gemäss Art. 40 Abs. 1 lit. a RAG schuldig gesprochen. Gegen das vorinstanzliche Urteil hat X. Berufung eingelegt mit dem Antrag, die bedingt ausgesprochene Geldstrafe durch eine Busse zu ersetzen. Dabei blieb unbestritten, dass X. die Prüfung der Buchführung und der Jahresrechnung 2008 der Stiftungen für P., B. und der R.-Stiftung, D., vornahm, obwohl weder er noch die H. GmbH im fraglichen Zeitpunkt über die notwendige Zulassung der Eidgenössischen Revisionsaufsichtsbehörde verfügten. Nicht einverstanden ist X. zum einen mit der Qualifizierung der Straftat als Vergehen und andererseits mit den vorinstanzlichen Erwägungen, wonach er in subjektiver Hinsicht eventualvorsätzlich gehandelt haben soll. Nachfolgend gilt es demnach zu prüfen, ob X. objektiv den Tatbestand von Art. 40 Abs. 1 lit. a RAG erfüllt hat und ob in subjektiver Hinsicht Fahrlässigkeit oder Eventualvorsatz vorliegt.</w:t>
      </w:r>
    </w:p>
    <w:p>
      <w:r>
        <w:rPr>
          <w:b/>
        </w:rPr>
        <w:t>E. 7</w:t>
      </w:r>
    </w:p>
    <w:p>
      <w:r>
        <w:t>a) Eine gesetzliche Revisionspflicht für Stiftungen war bis zum 1. Januar 2008 nicht vorgesehen. Dies änderte sich mit dem Erlass von Art. 83b Abs. 1 ZGB (SR 210, in Kraft seit dem 1. Januar 2008), gemäss welchem jede Stiftung verpflichtet ist, eine Revisionsstelle zu bezeichnen. Die Aufsichtsbehörde kann aber eine Stiftung von dieser Pflicht befreien (vgl. Art. 83b Abs. 2 Satz 1 ZGB). Bestehen für Stiftungen soweit keine besonderen Vorschriften, sind die Vorschriften des Obligationenrechts über die Revisionsstellen bei Aktiengesellschaften entsprechend anwendbar (Art. 83b Abs. 3 ZGB). Am 1. September 2007 trat das Revisionsaufsichtsgesetz in Kraft. Dieses sieht in Art. 3 Abs. 2 vor, dass natürliche Personen und Revisionsunternehmen, die Revisionsdienstleistungen im Sinne von Art. 2 lit. a RAG erbringen, einer Zulassung bedürfen. Über die Zulassung von Revisorinnen und Revisoren (lit. a), Revisionsexpertinnen und Revisionsexperten (lit. b) und staatlich beaufsichtigten Revisionsunternehmen (lit. c) entscheidet die Aufsichtsbehörde, nämlich die Eidgenössische Revisionsaufsichtsbehörde (Art. 15 Abs. 1 RAG). Auf Gesuch des obersten Stiftungsorgans kann die Aufsichtsbehörde aber eine Stiftung von der Pflicht, eine Revisionsstelle zu bezeichnen, befreien, wenn die Bilanzsumme der</w:t>
      </w:r>
    </w:p>
    <w:p>
      <w:r>
        <w:t>Seite 10 — 20 Stiftung in zwei aufeinander folgenden Geschäftsjahren kleiner als CHF 200'000.00 ist, die Stiftung nicht öffentlich zu Spenden oder sonstigen Zuwendungen aufruft und die Revision nicht für eine zuverlässige Beurteilung der Vermögens- und Ertragslage der Stiftung notwendig ist (Art. 1 der Verordnung über die Revisionsstelle von Stiftungen [SR 211.121.3, in Kraft seit dem 1. Januar 2006]). b) Die Strafbestimmungen des Revisionsaufsichtsgesetzes unterscheiden zwischen Übertretungen (Art. 39) und Vergehen (Art. 40). Nach Art. 39 wird mit Busse bis zu CHF 100'000.00 bestraft, wer verstösst gegen: die Grundsätze zur Unabhängigkeit nach Art. 11 sowie nach Art. 728 OR (lit. a); die Meldepflicht nach Art. 14 (lit. b); die Mitteilungspflicht nach Art. 15 Abs. 3 (lit. c); eine Ausführungsbestimmung zu diesem Gesetz, deren Übertretung vom Bundesrat für strafbar erklärt wird (lit. d) oder eine Verfügung oder Massnahme der Aufsichtsbehörde, die unter Hinweis auf die Strafdrohung dieses Artikels erlassen wurde (lit. e). Mit Gefängnis oder Busse bis zu CHF 1'000'000.00 wird bestraft, wer eine Revisionsdienstleistung ohne die erforderliche Zulassung oder trotz Verbot zur Ausübung seiner Tätigkeit erbringt (Art. 40 Abs. 1 lit. a RAG). Als Revisionsdienstleistungen gelten gemäss Art. 2 lit. a RAG Prüfungen und Bestätigungen, die nach bundesrechtlichen Vorschriften durch einen zugelassenen Revisionsexperten oder einen zugelassenen Revisor vorgenommen werden müssen. Mit Inkrafttreten des revidierten allgemeinen Teils des Strafgesetzbuches am 1. Januar 2007 wurde die angedrohte Strafe durch Freiheitsstrafe bis zu drei Jahren und die Busse durch Geldstrafe ersetzt (vgl. Botschaft zur Änderung des Obligationenrechts [Revisionspflicht im Gesellschaftsrecht] sowie zum Bundesgesetz über die Zulassung und Beaufsichtigung der Revisorinnen und Revisoren vom 23. Juni 2004, S. 4091). Wird die Tat fahrlässig begangen, so ist die Strafe Busse bis zu CHF 100'000.00 (Art. 40 Abs. 2 RAG). c) Der Berufungskläger bestreitet nicht, dass die H. GmbH, handelnd durch ihn, die Prüfung der Buchführung und der Jahresrechnung 2008 der Stiftung für P. sowie der R.-Stiftung vorgenommen hat, obwohl weder er noch die H. GmbH im fraglichen Zeitpunkt über die notwendige Zulassung der Eidgenössischen Revisionsaufsichtsbehörde verfügten. Somit erfüllt X. mit seinem Verhalten den objektiven Tatbestand von Art. 40 Abs. 1 lit. a RAG. Für die Erfüllung des objektiven Tatbestandes ist es unerheblich, ob der Berufungskläger der Ansicht war, Stiftungen mit einer Bilanzsumme kleiner als CHF 200'000.00 seien von der</w:t>
      </w:r>
    </w:p>
    <w:p>
      <w:r>
        <w:t>Seite 11 — 20 Revisionspflicht befreit. Dies ist bei der Prüfung des subjektiven Tatbestandes heranzuziehen.</w:t>
      </w:r>
    </w:p>
    <w:p>
      <w:r>
        <w:rPr>
          <w:b/>
        </w:rPr>
        <w:t>E. 8</w:t>
      </w:r>
    </w:p>
    <w:p>
      <w:r>
        <w:t>a) In subjektiver Hinsicht ist zu prüfen, ob X. eventualvorsätzlich oder fahrlässig gehandelt hat. Gemäss Art. 12 Abs. 2 Satz 1 des Strafgesetzbuches (StGB; SR 311.0) begeht ein Verbrechen oder Vergehen vorsätzlich, wer die Tat mit Wissen und Willen ausführt. Vorsätzlich handelt bereits, wer die Verwirklichung der Tat für möglich hält und in Kauf nimmt (Art. 12 Abs. 2 Satz 2 StGB).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b) Die Abgrenzung zwischen Eventualvorsatz und bewusster Fahrlässigkeit ist schwierig. Sowohl der eventualvorsätzliche Täter als auch der fahrlässig handelnde Täter wissen um die Möglichkeit oder das Risiko des Erfolgseintritts bzw. der Tatbestandsverwirklichung (BGE 133 IV 9, 16 E. 4.1). Die beiden Erscheinungsformen des subjektiven Tatbestandes stimmen auf der Wissensseite überein, jedoch nicht hinsichtlich des Willensmomentes (Entscheid des Bundesgerichts vom 4. Juni 2010 6B.168/2010, E. 1.3; BGE 133 IV 9, 16 E. 4.1). Ein bewusst fahrlässig handelnder Täter vertraut darauf, dass der von ihm als möglich vorausgesehene Erfolg nicht eintreten wird. Eventualvorsätzlich handelt der Täter, wenn er den Eintritt des Erfolges bzw. die Tatbestandsverwirklichung für ernsthaft möglich hält, aber dennoch handelt, weil er sich mit dem Erfolg für den Fall seines Eintritts abfindet; nicht erforderlich ist, dass der Täter den Erfolg billigt (BGE 133 IV 9, 16 E. 4.1; BGE 130 IV 58, 61 E. 8.2). Wer den Erfolg derart in Kauf nimmt, will diesen auch im Sinne von Art. 12 Abs. 2 StGB (Entscheid des Bundesgerichts vom 4. Juni 2010 6B.168/2010, E. 1.3). c) Der Berufungskläger merkte in seinem Schreiben vom 10. November 2009 an die Eidgenössische Revisionsaufsichtsbehörde (RAB) an, die H. GmbH habe sich innert Frist bezüglich Zulassung bei der RAB angemeldet und auch die geforderten Kostenbeträge überwiesen. Bis heute habe er aber nichts von der RAB vorliegend (act. 4.4). Diese Aussage bestätigte X. anlässlich seiner Befragung vor dem Untersuchungsrichter vom 4. Mai 2010 (act. 6.2). Da er von der RAB nichts mehr gehört habe, habe er sich entschieden, sich anders zu organisieren. Dies bedeute, er tätige nur noch Revisionen, die unter das Kriterium Opting-Out (Befreiung von der ordentlichen Revisionspflicht) fallen würden. Die</w:t>
      </w:r>
    </w:p>
    <w:p>
      <w:r>
        <w:t>Seite 12 — 20 Eidgenössische Revisionsaufsichtsbehörde bestätigte in ihrer Stellungnahme vom 3. Juni 2010, dass X. für sich und die H. GmbH am 15. Januar 2008 je ein elektronisches Gesuch eingereicht und die entsprechenden Gebühren für die Beurteilung der Gesuche bezahlt habe (act. 4.11). Sie wies jedoch daraufhin, die Gesuche seien trotz entsprechender Aufforderung nicht formgerecht auf Papier und mit den notwendigen Unterlagen versehen eingereicht worden. Infolgedessen verfüge weder X. noch die H. GmbH je über eine (provisorische) Zulassung als Revisor. In seiner Berufung wendet X. ein, er habe keine Kenntnis über eine Aufforderung seitens der RAB gehabt. Vor der Polizei und dem Untersuchungsrichter sagte X. aus, dass ihm sowohl das Inkrafttreten des Revisionsaufsichtsgesetzes per 1. September 2007 bekannt gewesen sei als auch die Revision des Obligationenrechts per 1. Januar 2008 (act. 6.1). Ebenfalls wusste er, dass die Stiftungsaufsichtsbehörde Ausnahmen bewilligen könne und unter welchen Bedingungen solche Ausnahmen bewilligt werden bzw. worden seien. Er habe jedoch geglaubt, dass Stiftungen mit einer Bilanzsumme unter CHF 200'000.00 von der Revisionspflicht ausgenommen seien. Wie bereits erwähnt, kann die Aufsichtsbehörde auf Gesuch des obersten Stiftungsorgans eine Stiftung von der Pflicht, eine Revisionsstelle zu bezeichnen, befreien. Dies ist dann möglich, wenn die Bilanzsumme der Stiftung in zwei aufeinander folgenden Geschäftsjahren kleiner als CHF 200'000.00 ist, die Stiftung nicht öffentlich zu Spenden oder sonstigen Zuwendungen aufruft und die Revision nicht für eine zuverlässige Beurteilung der Vermögens- und Ertragslage der Stiftung notwendig ist (Art. 1 der Verordnung über die Revisionsstelle von Stiftungen). Die gesetzliche Bestimmung ist somit klar: Stiftungen mit einer Bilanzsumme unter CHF 200’000.00 sind nicht per se von der Revisionspflicht ausgenommen. Dies hätte X. unschwer durch eine einfache Konsultation der Verordnung feststellen können. Er kann sich daher nicht darauf berufen, er hätte sich diesbezüglich in einem Irrtum befunden. Aus dem Gesagten ist ersichtlich, dass X. um das Erfordernis der Zulassung für Revisionsdienstleistungen wusste. Er hatte auch Kenntnis des Umstandes, dass man sich innert einer gewissen Frist bei der Revisionsaufsichtsstelle melden konnte, um die notwendige Zulassung zu beantragen, was er ja auch tat. Als er – gemäss eigenen Angaben – nichts von der Revisionsaufsichtsstelle vernommen hatte, hakte er bei der Behörde nicht nach, sondern organisierte sich neu; nun revidiert er nur noch Gesellschaften, welche von der Revisionspflicht befreit sind. Es kann offenbleiben, ob X. eine Aufforderung der RAB erhielt, die Gesuche schriftlich und mit den entsprechenden</w:t>
      </w:r>
    </w:p>
    <w:p>
      <w:r>
        <w:t>Seite 13 — 20 Unterlagen einzureichen. Gemäss Art. 2 RAV ist das Gesuch um Zulassung sowohl elektronisch als auch auf Papier einzureichen, wobei das Gesuch auf Papier unterzeichnet sein muss. X. konnte nicht einfach davon ausgehen, dass er die Zulassung erhalten werde oder erhalten habe; vor der Polizei sagte er aus, dass er nach den ihm heute bekannten Gegebenheiten die Zulassung als Revisor oder Revisionsexperte nicht erfülle, weshalb er keine solchen Mandate mehr ausüben würde (act. 6.1). Er hatte somit Kenntnis davon, dass er ohne Zulassung keine Revisionen hätte tätigen dürfen. Dies geht auch aus seiner Stellungnahme vom 10. November 2009 (act. 4.4) hervor, in welcher er schrieb, er habe die Organe beider Stiftungen in Zusammenhang mit den Jahresrechnungen 2007 und 2008 auf die neuen Bestimmungen aufmerksam gemacht und eine mögliche Tätigkeit seitens der H. GmbH in den Raum gestellt. Es sei ihm aber nicht klar gewesen, ob die neuen Gesetzesbestimmungen auch bei diesen sehr kleinen und karitativen Stiftungen mit einer Bilanzsumme unter CHF 200'000.00 angewandt würden. Vor dem Untersuchungsrichter gab er an, er habe nicht daran gedacht, bei der zuständigen Behörde in Bern nachzufragen. Er gesteht aber ein, dass dies im Nachhinein gesehen wohl sinnvoll wäre gewesen. Indem X. zwar ein Gesuch einreichte, aber die Zulassung nicht abwartete bzw. beim Amt nicht nachfragte und trotz dieses Wissens für zwei Stiftungen Revisionen für das Geschäftsjahr 2008 vornahm, nahm er in Kauf bzw. fand er sich damit ab, Revisionsdienstleistungen ohne Zulassungsbedingungen durchzuführen und damit gegen das Gesetz zu verstossen. Mit anderen Worten konnte X. nicht einfach darauf vertrauen, dass der von ihm vorausgesehene Erfolg, nämlich das Risiko einer Tatbestandserfüllung, nicht eintreten werde, weshalb eben Fahrlässigkeit ausscheidet. d) X. erfüllt somit auch in subjektiver Hinsicht den Tatbestand. Er hat sich deshalb der mehrfachen Widerhandlung gegen Art. 40 Abs. 1 lit. a RAG schuldig gemacht, da er zwei Revisionen vornahm, ohne über die entsprechende Zulassung zu verfügen.</w:t>
      </w:r>
    </w:p>
    <w:p>
      <w:r>
        <w:rPr>
          <w:b/>
        </w:rPr>
        <w:t>E. 9</w:t>
      </w:r>
    </w:p>
    <w:p>
      <w:r>
        <w:t>Gemäss Art. 366 Abs. 2 lit. a StGB sind die Urteile wegen Verbrechen und Vergehen, sofern eine Strafe oder Massnahme ausgesprochen worden ist, ins Strafregister aufzunehmen. Die Widerhandlung gemäss Art. 40 Abs. 1 lit. a RAG bezeichnet das Gesetz als Vergehen. Folglich ist ein Eintrag ins Strafregister zwingend. Wie die Vorinstanz zutreffend ausgeführt hat, hat das Gericht in dieser Hinsicht weder Entscheidkompetenz noch Ermessensspielraum.</w:t>
      </w:r>
    </w:p>
    <w:p>
      <w:r>
        <w:t>Seite 14 — 20</w:t>
      </w:r>
    </w:p>
    <w:p>
      <w:r>
        <w:rPr>
          <w:b/>
        </w:rPr>
        <w:t>E. 10</w:t>
      </w:r>
    </w:p>
    <w:p>
      <w:r>
        <w:t>a) Zu überprüfen bleibt im Folgenden die vorinstanzliche Strafzumessung. X. macht in seiner Berufung geltend, die Geldstrafe sei aufzuheben und es sei lediglich eine Busse auszusprechen. Der Bezirksgerichtsausschuss O. verurteilte X. zu einer Geldstrafe von zehn Tagessätzen zu je CHF 300.00 und zu einer Busse von CHF 600.00, ersatzweise zu einer Freiheitsstrafe von 2 Tagen. b) Bei der Überprüfung der vorinstanzlichen Strafzumessung ist zu beachten, dass das Kantonsgericht sein Ermessen zwar an die Stelle desjenigen der Vorinstanz setzt und die Regeln der Strafzumessung selbständig anwendet. Jedoch steht der Vorinstanz bei der Gewichtung der einzelnen Strafzumessungsfaktoren innerhalb des Strafrahmens ein erheblicher Spielraum zu. In diesen greift das Kantonsgericht nur mit grosser Zurückhaltung ein. Deshalb rechtfertigt sich eine Korrektur der Strafzumessung in der Regel nicht schon dann, wenn neben der von der Vorinstanz ausgefällten Strafe auch eine (allenfalls nur unerheblich) mildere Strafe vertretbar wäre, sich aber beide Strafen klar in der Bandbreite der möglichen angemessenen Sanktionen befinden (Urteil der I. Strafkammer des Kantonsgerichts Graubünden SK1 09 25 vom 21. Oktober 2009, E. 4.b). c) Nach Art. 47 Abs. 1 StGB misst das Gericht die Strafe nach dem Verschulden des Täters zu. Unter dem Begriff des Verschuldens ist das Mass an Vorwerfbarkeit des Rechtsbruchs zu verstehen; er bezieht sich auf den gesamten Unrechts- und Schuldgehalt der Straftat (BGE 134 IV 1, 11 E. 5.3.3 mit Hinweis). Somit ist das Verschulden das wesentliche Strafzumessungskriterium (BGE 127 IV 101, 103 E. 2a).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Neben dem Verschulden hat der Richter jedoch auch das Vorleben und die persönlichen Verhältnisse sowie die Wirkung der Strafe auf das Leben des Täters zu berücksichtigen (Art. 47 Abs. 1 StGB). d) Die Erbringung einer Revisionsdienstleistung ohne die erforderliche Zulassung oder trotz Verbot zur Ausübung seiner Tätigkeit wird mit Freiheitsstrafe bis zu drei Jahren oder mit einer Geldstrafe geahndet und stellt ein Vergehen dar (Art. 40 Abs. 1 lit. a RAG in Verbindung mit Art. 333 Abs. 2 lit. b StGB). Gemäss Art. 34 Abs. 1 StGB beträgt die Geldstrafe höchstens 360 Tagessätze, wobei das</w:t>
      </w:r>
    </w:p>
    <w:p>
      <w:r>
        <w:t>Seite 15 — 20 Gericht deren Zahl nach dem Verschulden des Täters bestimmt. Ein Tagessatz beträgt höchstens CHF 3'000.00.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(vgl. Art. 34 Abs. 2 StGB). Dem Gericht verbleibt dabei ein erheblicher Ermessensspielraum. e) Übereinstimmend mit der Vorinstanz kann festgehalten werden, dass das Verschulden von X. leicht wiegt. Er hatte sich sowohl gegenüber der Aufsichtsbehörde als auch gegenüber der Polizei und dem Untersuchungsrichter kooperativ verhalten. Zudem ist zu beachten, dass der Berufungskläger nicht vorbestraft ist und über einen einwandfreien Leumund verfügt. Hinzu kommt, dass die Entschädigungen für seine beiden Revisionen – CHF 300.00 für die Stiftung für P. und CHF 600.00 für die R.-Stiftung – relativ bescheiden ausfielen. Er hat somit weder aus gewinnsüchtigen Motiven noch mit Bereicherungsabsicht gehandelt. Straferhöhungs- und Strafschärfungsgründe sind zudem keine ersichtlich. In Würdigung sämtlicher Strafzumessungskriterien erachtet das Gericht vorliegend, in Übereinstimmung mit der Vorinstanz, eine Geldstrafe von 10 Tagessätzen als angemessen, was am unteren Rand dessen ist, was bei diesem Tatbestand überhaupt möglich ist. Zu bestimmen bleibt die Höhe des Tagessatzes. f) Bei der Bemessung der Tagessatzhöhe ist vom Nettoeinkommensprinzip auszugehen. Danach bildet das durchschnittliche Tagesnettoeinkommen des Täters, das im Einzelfall entsprechend den gesetzlichen Vorgaben anzupassen ist, den Ausgangspunkt (BGE 134 IV 60, 66 ff. E. 5.4; Urteil des Bundesgerichts vom 29. März 2008 6B_476/2007, E. 3.4; Dolge in: Niggli/Wiprächtiger (Hrsg.), Basler Kommentar, Strafrecht I, 2. Auflage, Basel 2007, Art. 34 N 35 und 43). Massgebend ist somit das Einkommen, das dem Täter durchschnittlich an einem Tag zufliesst, ganz gleich, aus welcher Quelle die Einkünfte stammen, und damit dessen tatsächliche wirtschaftliche Leistungsfähigkeit (BGE 134 IV 60, 68 f. E. 6.1). Zum Einkommen zählen ausser den Einkünften aus selbständiger und unselbständiger Arbeit namentlich die Einkünfte aus einem Gewerbebetrieb und aus dem Vermögen, ferner privat- und öffentlichrechtliche Unterhalts- und Unterstützungsbeiträge, Renten, Sozialversicherungs- und Sozialhilfeleistungen sowie Naturaleinkünfte (BGE 134 IV 60, 68 f. E. 6.1; Dolge, BSK, a.a.O., Art. 34 N 53). Das Gericht hat die wirtschaftliche Leistungsfähigkeit möglichst aktuell und genau zu ermitteln und zwar im Hinblick auf den Zeitraum, in dem die Geldstrafe</w:t>
      </w:r>
    </w:p>
    <w:p>
      <w:r>
        <w:t>Seite 16 — 20 zu bezahlen sein wird. Daraus folgt, dass künftige Einkommensverbesserungen oder Einkommensverschlechterungen zu berücksichtigen sind, wenn sie konkret zu erwarten sind und unmittelbar bevorstehen (BGE 134 IV 60, 68 f. E. 6.1; Dolge, BSK, a.a.O., Art. 34 N 54). Vom Bruttoeinkommen des Täters sind die Sozialversicherungsleistungen abzuziehen. Sodann ist in Abzug zu bringen, was gesetzlich geschuldet ist oder dem Täter wirtschaftlich nicht zufliesst, so die laufenden Steuern, die Beiträge an die obligatorische Kranken- und Unfallversicherung sowie die notwendigen Berufsauslagen bzw. bei Selbständigerwerbenden die branchenüblichen Geschäftsunkosten (Dolge, BSK, a.a.O., Art. 34 N 59). Das Nettoprinzip verlangt, dass bei den ermittelten Einkünften – innerhalb der Grenzen des Rechtsmissbrauchs – nur der Überschuss der Einnahmen über die damit verbundenen Aufwendungen zu berücksichtigen sind. Der Ermittlung des Nettoeinkommens können in der Regel die Daten der Steuerveranlagung zu Grunde gelegt werden (BGE 134 IV 60, 68 f. E. 6.1; Urteil des Bundesgerichts vom 29. März 2008 6B_476/2007, E. 3.4.1). Es erweist sich im Regelfall als sachgerecht, dem Täter für Kranken- und Unfallversicherung sowie Steuern je nach Höhe des Einkommens einen Pauschalabzug vom Einkommen von 15% bis 30% zuzugestehen (Sollberger, Besondere Aspekte der Geldstrafe, in: ZStrR 121 (2003), S. 255; Dolge, BSK, a.a.O., Art. 34 N 60). Auch bei Vornahme eines Pauschalabzuges gilt es jedoch zusätzlich, die für den konkreten Fall relevanten Abzüge gemäss bundesgerichtlicher Rechtsprechung zu berücksichtigen. Weiter nennt das Gesetz allfällige Familien- und Unterstützungspflichten, da Familienangehörige von der Einschränkung des Lebensstandards möglichst nicht in Mitleidenschaft gezogen werden sollen. Das Nettoeinkommen ist daher um die Unterhalts- und Unterstützungsbeiträge zu reduzieren, soweit der Verurteilte ihnen tatsächlich nachkommt. Das Gericht kann sich hierbei weitgehend an den Grundsätzen des Familienrechts orientieren (BGE 134 IV 60, 70 f. E. 6.4; Urteil des Bundesgerichts vom 29. März 2008 6B_476/2007, E. 3.4.1; Dolge, BSK, a.a.O., Art. 34 N 70). Das Gesetz nennt weiter das Vermögen als Bemessungskriterium, wobei nur die Substanz des Vermögens in Frage kommt, da dessen Ertrag bereits Einkommen darstellt. Dieses ist allerdings nur (subsidiär) zu berücksichtigen, wenn besondere Vermögensverhältnisse einem vergleichsweise geringen Einkommen gegenüberstehen. Es erlangt mit anderen Worten nur insofern Bedeutung, als der Täter von dessen Substanz lebt, und bildet</w:t>
      </w:r>
    </w:p>
    <w:p>
      <w:r>
        <w:t>Seite 17 — 20 Bemessungsgrundlage in dem Ausmass, in dem er es für seinen Alltag anzehrt (BGE 134 IV 60, 69 f. E. 6.2 mit Hinweisen; Urteil des Bundesgerichts vom 29. März 2008 6B_476/2007, E. 3.4.2). Schliesslich ist bei der Bemessung des Tagessatzes das Existenzminimum zu berücksichtigen. Hierbei gilt, dass auch für einkommensschwache Personen das strafrechtliche Nettoeinkommen Grundlage und Ausgangspunkt für die Bemessung des Tagessatzes bildet. Der Hinweis auf das Existenzminimum gibt dem Gericht allerdings ein Kriterium zur Hand, welches erlaubt, vom Nettoeinkommensprinzip abzuweichen und den Tagessatz bedeutend tiefer zu bemessen. Ähnlich wie dem Kriterium des Lebensaufwandes kommt demjenigen des Existenzminimums Korrekturfunktion zu. g) Der Berufungskläger ist selbständig erwerbender Steuerberater und Treuhänder. Er wies – gemäss kantonaler Steuerveranlagung – 2007 ein selbständiges Erwerbseinkommen von CHF 127'030.00, eine unselbständige Tätigkeit von CHF 2'000.00 und einen Vermögensertrag von netto CHF 32'506.00 aus (act. 09/1). Monatlich ergab sich damals daraus ein Einkommen von rund CHF 13'000.00. Das Reinvermögen betrug CHF 448’882.00. Gemäss seinen Angaben 2010 beträgt sein monatliches Nettoeinkommen ca. CHF 10'000.00– 12'000.00 (act. 2.3). Da das Gericht die wirtschaftliche Leistungsfähigkeit möglichst aktuell zu ermitteln hat, ist auf seine Angaben 2010 und somit auf ein Nettoeinkommen von CHF 11'000.00 abzustellen. Im vorliegenden Fall scheint ein Pauschalabzug für Kranken- und Unfallversicherung sowie Steuern von 30 % bzw. Fr. 3’300.00 als angemessen. Auf einen Unterstützungsabzug an die Ehefrau ist zu verzichten, da diese ein Nettoeinkommen von CHF 1'500.00 erwirtschaftet (vgl. act. 2.3). Somit ergibt dies ein relevantes Nettoeinkommen von CHF 7’700.00 bzw. einen Grundtagessatz von CHF 256.60 (CHF 7’700.00/30). Die Vorinstanz hat gestützt auf die Berechnung der Staatsanwaltschaft das Vermögen des Berufungsklägers als erhöhend berücksichtigt. Aus den Akten ist jedoch nicht ersichtlich, dass der Berufungskläger zusätzlich von der Vermögenssubstanz leben würde. Das Vermögen ist deshalb nicht zu berücksichtigen. Eine Korrektur aufgrund des Kriteriums des Existenzminimums erweist sich angesichts der finanziellen Verhältnisse des Berufungsklägers als nicht notwendig. Aus dem Gesagten resultiert somit eine Tagessatzhöhe von abgerundet CHF 250.00. h) Eine Geldstrafe ist in der Regel aufzuschieben, wenn vom Fehlen einer ungünstigen Prognose ausgegangen werden kann (vgl. Art. 42 Abs. 1 StGB). Im vorliegenden Fall ergeben sich keine Anhaltspunkte für eine Wiederholungsgefahr,</w:t>
      </w:r>
    </w:p>
    <w:p>
      <w:r>
        <w:t>Seite 18 — 20 zumal der Berufungskläger keine Vorstrafen aufweist und einen einwandfreien Leumund besitzt. Des Weiteren sagte der Berufungskläger vor der Polizei und dem Untersuchungsrichter aus, er übe keine Mandate mehr aus, für welche er eine Zulassung benötigen würde. Er habe sich nun anders organisiert. Es ist deshalb davon auszugehen, dass das Strafverfahren sowie die bedingt ausgesprochene Geldstrafe in Verbindung mit einer Busse ihre Wirkung auf den Berufungskläger haben werden und er sich zukünftig wohl verhalten wird. Eine unbedingte Strafe erscheint daher nicht notwendig. i) Eine bedingte Strafe kann jedoch mit einer unbedingten Geldstrafe oder mit einer Busse nach Art. 106 StGB verbunden werden (vgl. Art. 42 Abs. 4 StGB). Das Bundesgericht hat sich in zwei Grundsatzentscheiden zu den Verbindungsstrafen geäussert (vgl. BGE 134 IV 1; BGE 134 IV 60). Diese kommen insbesondere in Betracht, wenn man dem Täter den bedingten Vollzug einer Geld- oder Freiheitsstrafe gewähren möchte, ihm aber dennoch in gewissen Fällen mit der Auferlegung einer zu bezahlenden Geldstrafe oder Busse einen Denkzettel verabreichen möchte. Die Strafenkombination dient hier spezialpräventiven Zwecken. Das Hauptgewicht liegt auf der bedingten Freiheits- oder Geldstrafe, während der unbedingten Verbindungsstrafe beziehungsweise Busse nur untergeordnete Bedeutung zukommt (vgl. BGE 135 IV 188). Das Gericht bemisst die Busse je nach den Verhältnissen des Täters so, dass dieser die Strafe erleidet, die seinem Verschulden angemessen ist (vgl. Art. 106 Abs. 3 StGB). Bei der Bemessung der Busse ist auch der finanziellen Leistungsfähigkeit Rechnung zu tragen. Für die Verhältnisse des Täters relevant sind die gleichen Kriterien wie bei der Geldstrafe, somit Einkommen, Vermögen, Lebensaufwand, Unterstützungspflichten und Existenzminimum. In BGE 135 IV 188 hat das Bundesgericht entschieden, dass es als sachgerecht erscheine, die Obergrenze der Verbindungsstrafe grundsätzlich auf einen Fünftel beziehungsweise 20% festzulegen. Abweichungen von dieser Regel sind im Bereich tiefer Strafen denkbar, um sicherzustellen, dass der Verbindungsstrafe nicht eine lediglich symbolische Bedeutung zukommt (BGE 135 IV 191; BGE 135 IV 88, E. 3.4.4; BGE 134 IV 60, E. 6.5.2; SK1 10 32). Wie bereits ausgeführt, ist das Verschulden von X. als gering anzusehen. Trotzdem rechtfertigt es sich, eine Verbindungsbusse auszusprechen, damit der bedingt ausgesprochenen Geldstrafe nicht nur symbolischen Charakter zukommt. Die von der Vorinstanz festgesetzte Busse in der Höhe von CHF 600.00 erscheint dem Kantonsgericht von Graubünden als angemessen.</w:t>
      </w:r>
    </w:p>
    <w:p>
      <w:r>
        <w:t>Seite 19 — 20 Das Gericht hat gemäss Art. 106 Abs. 2 StGB für eine ausgesprochene Busse eine Ersatzfreiheitsstrafe von mindestens einem Tag und höchstens drei Monaten festzulegen. Dem Gericht steht bei der Festlegung der Ersatzfreiheitsstrafe ein weiter Ermessensspielraum zu. Ist eine Ersatzfreiheitsstrafe für eine Verbindungsbusse im Sinne von Art. 42 Abs. 4 StGB festzulegen, besteht die Besonderheit, dass das Gericht sich mit der wirtschaftlichen Leistungsfähigkeit des Täters bei der Bestimmung des Tagessatzes bereits befasst hat. Dies lässt es als sachgerecht erscheinen, die Tagessatzhöhe als Umrechnungsschlüssel zu verwenden, indem der Betrag der Verbindungsstrafe durch den Tagessatz dividiert wird (BGE 134 IV 60 E. 7.7.3). Für den Fall, dass X. die Verbindungsbusse schuldhaft nicht bezahlen sollte, wird unter Beachtung dieser Grundsätze eine Ersatzfreiheitsstrafe von 2 Tagen ausgesprochen. j) Eine bedingte Geldstrafe von 10 Tagessätzen zu je Fr. 250.00 sowie eine Busse von Fr. 600.00 unter Anordnung einer Ersatzfreiheitsstrafe von 2 Tagen, erscheinen dem Kantonsgericht von Graubünden unter den gegebenen Umständen angemessen zu sein (vgl. Urteil des Bundesgerichts 6B_912/2008 vom 21. August 2009, E. 3.4.4; BGE 134 III 77; BGE 134 IV 53; SK1 10 9).</w:t>
      </w:r>
    </w:p>
    <w:p>
      <w:r>
        <w:rPr>
          <w:b/>
        </w:rPr>
        <w:t>E. 11</w:t>
      </w:r>
    </w:p>
    <w:p>
      <w:r>
        <w:t>Zusammenfassend ergibt sich somit, dass sich X. der mehrfachen Widerhandlung gegen das Revisionsaufsichtsgesetz gemäss Art. 40 Abs. 1 lit. a RAG schuldig gemacht hat. Der Berufungskläger ist mit seinem Begehren, es liege lediglich eine Übertretung und kein Vergehen vor, nicht durchgedrungen. Eine geringfügige Änderung gegenüber dem vorinstanzlichen Urteil erfährt lediglich die Höhe des Tagessatzes, welcher zu seinen Gunsten reduziert wurde. So wird X. zu einer Geldstrafe von 10 Tagessätzen zu je CHF 250.00 und einer Busse von CHF 600.00, ersatzweise bei deren schuldhafter Nichtbezahlung mit einer Freiheitsstrafe von 2 Tagen, verurteilt. Damit steht fest, dass X. mit seiner Berufung im Grundsatz nicht durchgedrungen ist. Es rechtfertigt sich daher, die Kosten des Berufungsverfahrens X. zu 4/5 zu überbinden, zumal die Korrektur des Tagessatzes von untergeordneter Bedeutung ist.</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